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6B45" w:rsidRDefault="00A16B45" w:rsidP="004D011F">
      <w:pPr>
        <w:spacing w:after="0" w:line="480" w:lineRule="auto"/>
        <w:contextualSpacing/>
      </w:pPr>
      <w:r>
        <w:t>To:</w:t>
      </w:r>
      <w:r w:rsidR="004D011F">
        <w:t xml:space="preserve"> CEO, </w:t>
      </w:r>
      <w:r w:rsidR="004D011F" w:rsidRPr="004D011F">
        <w:t>Hapless Hospital</w:t>
      </w:r>
    </w:p>
    <w:p w:rsidR="00A16B45" w:rsidRDefault="00A16B45" w:rsidP="004D011F">
      <w:pPr>
        <w:spacing w:after="0" w:line="480" w:lineRule="auto"/>
        <w:contextualSpacing/>
      </w:pPr>
      <w:r>
        <w:t>From:</w:t>
      </w:r>
    </w:p>
    <w:p w:rsidR="00A16B45" w:rsidRDefault="004D011F" w:rsidP="004D011F">
      <w:pPr>
        <w:spacing w:after="0" w:line="480" w:lineRule="auto"/>
        <w:contextualSpacing/>
      </w:pPr>
      <w:r>
        <w:t>Date:</w:t>
      </w:r>
    </w:p>
    <w:p w:rsidR="004D011F" w:rsidRDefault="004D011F" w:rsidP="004D011F">
      <w:pPr>
        <w:spacing w:after="0" w:line="480" w:lineRule="auto"/>
        <w:contextualSpacing/>
      </w:pPr>
      <w:r>
        <w:t>Subject:</w:t>
      </w:r>
      <w:r w:rsidRPr="004D011F">
        <w:t xml:space="preserve"> </w:t>
      </w:r>
      <w:bookmarkStart w:id="0" w:name="_GoBack"/>
      <w:r w:rsidRPr="004D011F">
        <w:t>Incident Reports</w:t>
      </w:r>
      <w:r>
        <w:t xml:space="preserve"> Policy</w:t>
      </w:r>
      <w:bookmarkEnd w:id="0"/>
    </w:p>
    <w:p w:rsidR="00BA3A73" w:rsidRDefault="00A16B45" w:rsidP="004D011F">
      <w:pPr>
        <w:spacing w:after="0" w:line="480" w:lineRule="auto"/>
        <w:contextualSpacing/>
      </w:pPr>
      <w:r>
        <w:t>The information contained in the incidence reports within Hapless Hospital needs not to be discoverable. The Incident reports need only to be handled by the right hospital personnel. According to the ruling of the Texarkana vs. Jones case, the legislation is purposed to restrict the use of patient data that is retrieved from treatment and examination records within our hospital. The first component of our policy for handling incident reports should be function review to be carried out only for hospital-related educational purposes. As depicted in the</w:t>
      </w:r>
      <w:r w:rsidR="00A57293">
        <w:t xml:space="preserve"> case, Jordan v Court of App., </w:t>
      </w:r>
      <w:proofErr w:type="gramStart"/>
      <w:r w:rsidR="00A57293">
        <w:t>o</w:t>
      </w:r>
      <w:r>
        <w:t>ur</w:t>
      </w:r>
      <w:proofErr w:type="gramEnd"/>
      <w:r>
        <w:t xml:space="preserve"> second component of the policy should be the creation of a committee for handling the incident reports. As depicted in the case, Barnes v Whittington, medical documents such as incident reports need never to be provided in a medical malpractice case.</w:t>
      </w:r>
    </w:p>
    <w:p w:rsidR="00A16B45" w:rsidRPr="00A16B45" w:rsidRDefault="00A16B45" w:rsidP="004D011F">
      <w:pPr>
        <w:spacing w:after="0" w:line="480" w:lineRule="auto"/>
        <w:contextualSpacing/>
      </w:pPr>
    </w:p>
    <w:sectPr w:rsidR="00A16B45" w:rsidRPr="00A16B4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A73"/>
    <w:rsid w:val="00234EB3"/>
    <w:rsid w:val="00315E07"/>
    <w:rsid w:val="003B5D31"/>
    <w:rsid w:val="004D011F"/>
    <w:rsid w:val="00534970"/>
    <w:rsid w:val="00922D97"/>
    <w:rsid w:val="00A16B45"/>
    <w:rsid w:val="00A57293"/>
    <w:rsid w:val="00A81DA3"/>
    <w:rsid w:val="00B63362"/>
    <w:rsid w:val="00BA3A73"/>
    <w:rsid w:val="00C93190"/>
    <w:rsid w:val="00CE40C7"/>
    <w:rsid w:val="00D0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5772E5-93A6-44D4-977F-FE076F1D3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136</Words>
  <Characters>778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MORRIS</cp:lastModifiedBy>
  <cp:revision>1</cp:revision>
  <dcterms:created xsi:type="dcterms:W3CDTF">2020-01-23T23:32:00Z</dcterms:created>
  <dcterms:modified xsi:type="dcterms:W3CDTF">2020-01-24T00:08:00Z</dcterms:modified>
</cp:coreProperties>
</file>